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041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SA"/>
        </w:rPr>
        <w:t>湖南省重点倍增产业链应用场景清单</w:t>
      </w:r>
      <w:bookmarkEnd w:id="0"/>
    </w:p>
    <w:p w14:paraId="64297D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应用场景能力清单</w:t>
      </w:r>
    </w:p>
    <w:p w14:paraId="7EE9F4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537"/>
        <w:gridCol w:w="1197"/>
        <w:gridCol w:w="2585"/>
        <w:gridCol w:w="7470"/>
        <w:gridCol w:w="1766"/>
        <w:gridCol w:w="2170"/>
      </w:tblGrid>
      <w:tr w14:paraId="50CA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298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序号</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632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所属产业链</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61E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产品/解决方案名称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297D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产品/解决方案介绍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5F9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发布单位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4A2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联系人及手机号</w:t>
            </w:r>
          </w:p>
        </w:tc>
      </w:tr>
      <w:tr w14:paraId="79D7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DDF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030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工程机械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07D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多功能跨运车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E0F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我司生产的多功能跨运车主要应用于储能箱体、集装箱、油罐箱体及类似大型物件的转运、堆叠、装卸车等作业场景.相较传统的转运方式的痛点，如交叉作业难、室内吊机范围受限，装车效率低等，我司生产的跨运车具有转运灵活、易操作、效率高、稳定性强、安全性高等特点。公司组建了资深的非标设计团队，能为客户提供定制化服务，精准解决大件搬运过程中的各类难题。我司生产的跨运车目前在细分领域国内市场占有率达80%以上，多年稳居首位，深受好评。代表客户有比亚迪、宁德时代、国家电网、美国LG、海博思创等大型企业，回购率100%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CD2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湖南盛势通科技有限公司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6F1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毛文知</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17773121573</w:t>
            </w:r>
          </w:p>
        </w:tc>
      </w:tr>
      <w:tr w14:paraId="0270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A1B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E71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01D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杨梅采后减损贮藏保鲜方法</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A10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集成了“采后处理+冰温贮藏+活性包装”的杨梅保鲜贮藏技术，目前已在农科院进行中试生产完毕，基本能达到保鲜15天杨梅的商品化率达90%以上，且经冷链运输后1天内依旧新鲜。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831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540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夏旭</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18890356846</w:t>
            </w:r>
          </w:p>
        </w:tc>
      </w:tr>
      <w:tr w14:paraId="6866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B4B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528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5B5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第三代杂交水稻（广三系）育种技术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EE6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传统杂交水稻育种技术存在资源利用率低和受光温条件影响生产稳定性不足的问题，研究院创造性的将隐性核雄性不育基因应用于杂交水稻生产，在国际上首例成功创建了第三代水稻杂交育种（广三系）技术，在提高水稻种质资源利用率至接近100%的同时，又避免了光照和低温等自然条件对不育系育性的影响，提升了制种安全性，填补了国内外隐性单基因控制的核不育系在水稻生产应用上的空白。</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338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怀化市作物分子设计育种研发中心</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49C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陈雷</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13811954970</w:t>
            </w:r>
          </w:p>
        </w:tc>
      </w:tr>
      <w:tr w14:paraId="725B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FF2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56A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64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河道生态巡查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740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基于无人机多传感器融合与AI边缘计算技术，构建河道生态全要素智能监管体系。系统通过长航时无人机搭载高光谱相机及多参数水质传感器，沿河道网格化航线自动飞行采集数据；AI引擎实时识别非法采砂行为（船舶特征识别准确率≥95%）、污水偷排口（热异常+泡沫纹理分析）及漂浮污染物（种类分类精度90%），同步将水质参数空间分布图与历史数据动态比对。平台自动生成水利异常预警报告，秒级推送至河长制管理平台及执法终端，形成“监测-溯源-执法-修复”全链条闭环管理，助力水生态治理从被动响应转向主动防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90E0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BB0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14:paraId="0372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0EA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795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D44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违建巡查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A2D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融合无人机倾斜摄影与AI三维重建技术，打造城市违建监控平台。系统通过无人机集群按规划网格自动执行厘米级精度航测（单架次覆盖2km²），基于激光雷达点云与可见光影像构建实景三维模型；AI算法自动比对规划审批数据库与历史航拍数据，精准识别新增违建（检测灵敏度0.5㎡）、违规加层（高度误差&lt;0.1m）及侵占红线（空间重叠分析），并通过变化检测技术过滤合法施工干扰。平台自动生成带空间坐标的违法证据包（含三维模型对比图），一键推送至城管执法系统并同步规划、国土部门数据库，实现“发现-举证-立案-拆除”全流程数字化协同，违建处置效率提升10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78C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4CC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14:paraId="7D92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3748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B61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D07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多领域无人机智慧巡检系统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D42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针对交通路网、农林生态、水务等多领域场景，打造全域数字化巡检解决方案：实现无人机巡检实时数据回传，助力预防性维护；动态监测农业作物、森林火险、水库坝体等,提升生态管理效率,实现隐患可视化追溯，全方位保障水利设施安全运行。系统以技术驱动为核心，为多行业提供高效、可靠的数字化巡检支持。</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1FCF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276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14:paraId="363F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3C3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039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45FF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航空科普教育营地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3FB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打造面向全龄段的航空科普教育平台，融合飞行理论、无人机实践及人工智能课程，承办航空航天赛事、研学实践等特色项目，深化青少年对航空科学的认知，以竞赛与实践结合的形式激发创新潜能。聚焦无人机驾驶执照培训，提供从理论教学到实操飞行的全流程课程，涵盖民航法规、空域管理、应急处置等核心模块。打造"理论+实操+认证"的闭环培养模式，为不同年龄段学习者提供从兴趣启蒙到职业资质的进阶通道，全面助力航空人才培养与产业需求对接。</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D2F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842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14:paraId="6799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A59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25C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2AC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政务巡检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9811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在一定区域内，布置多台无人值守机巢，统筹至低空飞行服务平台，提高无人机作业范围和作业效率。无人机可挂载多种传感器如摄像头、气体采集、多光谱等设备，利用操控平台加载智慧中台即AI系统，对实时传输与储存的数据进行识别和分析，提升城市治理水平、加强公共管理效能。其应用范围涵盖：公安、城管、水利、应急、自规、农业农村、住建、交通等多个部门和场景。</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8EC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湖南新翼智能科技发展有限公司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7FF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陈亚妮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15886310935</w:t>
            </w:r>
          </w:p>
        </w:tc>
      </w:tr>
      <w:tr w14:paraId="42FC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2E7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C26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A75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巡检复合翼无人机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DCE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复合翼无人机能满足长续航大范围的应用场景，能作为巡检航拍等应用场景。复合翼无人机不需要长距离的跑道，能直接垂直起飞。复合翼最长滞空时间能达到12小时，飞行速度快，飞行高度高，能挂载很多设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54E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8FA0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4785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54C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6D6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A30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应急照明系留无人机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FE3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系留无人机是通过电源线缆连接到无人机，采用地面电源箱供电。因此，系留无人机能长时间滞空，作为照明无人机，能为足球场大小的场地提供长时间照明，特别适合野外等应急场景的使用。</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94C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0E2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7828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5C5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F66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B71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光伏面板清洗无人机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6D6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无人机内部装有30L或者50L水箱，通过不断转动喷嘴，对光伏面板的表面进行反复清洗。通过无人机清洗，比人工清洗的效率更高，成本也低。</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4E7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C7B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0247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03B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391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78F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载重物流无人机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6FF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六轴无人机具有30-50公斤的载重，能运输重要物质，如医用药品，也可以服务农业，从山顶运输经济作物到山底。</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6F2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0BFD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14:paraId="115C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43D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EBF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8DD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通航旅游、会展、制造及机场服务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AEF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推进A1类机场升级（800米跑道→3C级），联合申报省级通航小镇及国家4A景区，打造“制造+运营+文旅”全产业链枢纽，主导开发“猎玩通航小镇”（规划5000亩，拟投资26.4亿元）。</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A11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湖南猎玩体育产业发展有限责任公司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78C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周明</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18673066666</w:t>
            </w:r>
          </w:p>
        </w:tc>
      </w:tr>
      <w:tr w14:paraId="2FFE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FC9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529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FBB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提供飞行培训、机务保障服务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DAA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2024年完成省级核准并投运，提供飞行培训、机务保障服务，未来拓展至3C等级承接中型固定翼飞机。</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9C6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平江安定通用机场有限公司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98E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彭为卫</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13873054448</w:t>
            </w:r>
          </w:p>
        </w:tc>
      </w:tr>
      <w:tr w14:paraId="4E74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03F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8C2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装配式建筑</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342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保温楼承板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BC4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按照建好房子，住好房子的智能建造理念，我公司在全国范围内率先研发与混凝士同寿命的保温结构一体化产品“保温楼承板”。该产品在施工过程中具有工序少、易建性好、施工安全风险小、隔声的优点，彻底解决了当前保温材料施工工序复杂、施工安全风险大、易脱落空鼓、挤占室内空间、成本高等施工难点问题。同时进一步解决了因业主接受度不高，在装修期间铲除保温材料所造成的房屋保温系统破坏、资源浪费、制造垃圾的社会痛点问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F16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湖南麓谷建筑科技有限公司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AF3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杨武昆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18230511200</w:t>
            </w:r>
          </w:p>
        </w:tc>
      </w:tr>
      <w:tr w14:paraId="3367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069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82A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磁浮交通</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F6A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939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作为新一代工业传输方式，颠覆性解决了皮带、倍速链等传统机械传动模式存在的摩擦损耗、维护成本高、柔性化不足等问题，为现代工业生产提供高效、精确、灵活的物料流转平台。其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磁悬浮输送系统创新性融合了先进电磁力控制、高精度定位检测与智能控制技术，实现无接触传输、精准定位、智能监测及预测性维护。能够实现最大速度5m/s，最大加速度100m/s²，重复定位精度±0.005mm。2024年10月，该技术获国家工业信息安全发展研究中心“国际先进”评价。</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FB3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8C8F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徐晶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18397590898</w:t>
            </w:r>
          </w:p>
        </w:tc>
      </w:tr>
      <w:tr w14:paraId="711D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990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6A8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F08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市政环卫车辆（燃料电池清扫车、燃料电池压缩式垃圾车）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847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一、基本情况本场景聚焦市政环境清扫领域，针对城市道路清洗、垃圾收运等作业需求，开发并应用 BJ5182TXSFCEV1 氢燃料洗扫车、BJ5182ZYSFCEV1 氢燃料压缩车两款产品。洗扫车具备 9 种作业功能，覆盖道路清洗、清扫、降尘等场景；压缩车采用高强度钢及升级液压系统，支持多种垃圾收运方式，均适用于城市主干道、广场、居民区等复杂环境。两款车辆均采用氢燃料电池动力系统，替代传统燃油/锂电池环卫车，实现零尾气排放，解决传统车辆高污染、低温性能差、续航不足等问题。二、技术路线及可行性动力系统：搭载福田氢燃料电池专用底盘，匹配电机直驱风机、水泵、液压泵等作业装置，能量转换效率高，可达到90%以上。作业系统：洗扫车集成扫盘降尘、宽吸嘴清洗等装置，压缩车采用高压力液压系统（压缩密度 0.65~0.85），作业效率较同类产品提升50%。能源补给：采用5分钟快速加氢技术，续航里程达510km，适配现有加氢站网络。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E69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长沙普罗科环境装备有限责任公司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042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鲁芮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18711061540</w:t>
            </w:r>
          </w:p>
        </w:tc>
      </w:tr>
      <w:tr w14:paraId="711C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4ED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95B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376D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工业窑炉低碳氢氧燃烧技术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3BD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工业窑炉氢氧燃烧（氢能+全氧）是利用绿电电解水制取的氢气（H₂）和氧气（O₂）燃烧反应的技术，反应释放大量能量，产物仅为水（H₂O），是高效、低碳的能源利用方式。用全氧（O₂）替代助燃风空气与氢气（H₂）燃烧，可实现近零碳排放和高能量密度输出，具有零碳排放和高能量密度特点，是未来清洁能源系统重要组成部分，是实现工业脱碳和高效能源转换重要路径， 为钢铁、陶瓷、玻璃、冶金等高温工业提供深度脱碳路径，大幅降低运营成本与碳排放。</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C88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湖南润泽新能源科技有限公司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6CA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赵权</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1561636333</w:t>
            </w:r>
          </w:p>
        </w:tc>
      </w:tr>
      <w:tr w14:paraId="036E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17E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25E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8FD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智慧电站为高速、铁路工程施工解决用电需求</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6B3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智慧电站是一种结合柴油发电机组与储能系统的混合动力供电解决方案，通过EMS能量管理系统实现智能调度，适用于工程施工领域的临时用电需求。该产品具有以下特点：1. 节能高效：通过柴储混动模式，降低油耗30%-40%，每升柴油发电量提升至3度以上。2. 稳定供电：毫秒级响应负载变化，保障电压和频率稳定，适用于高功率冲击性负荷场景。3. 环保低碳：支持与光伏、市电并网运行，减少碳排放。4. 智能管理：实时监测电能储存与使用，远程控制，数据分析。应用场景包括隧道掘进、桥梁施工、混凝土搅拌站等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FD6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1C5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张洋</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15116076450</w:t>
            </w:r>
          </w:p>
        </w:tc>
      </w:tr>
      <w:tr w14:paraId="1B34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8F9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2A7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AEF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华为全液冷超充解决方案，加速高压快充桩布局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EF4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华为全液冷超充桩是新一代电动汽车充电基础设施，采用创新的全液冷散热技术，具有以下核心优势：​1、高效充电能力：支持600kW最大输出功率，实现"一秒一公里"的极速充电体验，兼容主流电动车充电协议。​2、技术创新：全液冷散热系统，相比传统风冷方案：噪音降低50%以上；散热效率提升30%；设备寿命延长2-3倍；采用模块化设计，支持灵活扩容。4、节能环保：充电效率高达96%；支持光伏等可再生能源接入；低能耗待机模式。5、智能化管理：云端智能调度系统；支持V2G（车网互动）技术；大数据分析优化充电策略。该解决方案已在湖南长沙、株洲、永州、湘潭等地试点部署，单桩日均服务能力达100车次以上，故障率低于0.5%，用户满意度超过98%。特别适合在高速公路服务区、城市公共停车场、物流园区等场景大规模部署。</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F84A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19E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邹毅</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15807333395</w:t>
            </w:r>
          </w:p>
        </w:tc>
      </w:tr>
      <w:tr w14:paraId="3DD3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CCD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623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EAC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智能打磨工作站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84E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产品介绍：通过机器人控制系统，根据工件材质和结构特点，灵活选配打磨工具，定制开发打磨软件，满足复杂零部件去毛刺打磨需求和信息化管理需求。适用场景：1. 铝镁合金压铸件的披锋打磨和毛刺去除；2. 发动机缸体、壳体、阀体等汽车零部件机加工后的毛刺去除；3. 焊接件的焊缝打磨等。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757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CE7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郭赐东</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15005194725</w:t>
            </w:r>
          </w:p>
        </w:tc>
      </w:tr>
      <w:tr w14:paraId="21DC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00C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1F2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C88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铸造材料成型</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2A0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主要产业为铸件材料及成品全品类铸件，具备熔炼、造型、抛丸、热处理、砂回收、焊接、探伤、质量检测等方面能力，有完整的铸钢、铸铝、铸铁、机加、试验检测的生产能力，励志打造智能、柔性、绿色、高效的铸件生产线。多零件集成铸钢件成型技术：高速重载轨道交通车辆转向架铸件结构轻量化方案；超音速航天反雷达探测导弹弹体轻量化、精密成型方案。超低温高韧性球墨铸铁成型技术：超低温球墨铸铁成型超高压抗爆球墨铸铁精密成型表面高球化球墨铸铁制造工艺。超高强度高韧性铝合金成型技术：超音速弹道导弹弹体锻（铝）改铸（铝）成型工艺研发；高速动车电机铸件轻量化研发；磁悬浮列车大型构件集成化产品工艺研发。硅溶胶精密铸造成型技术轨道交通用高强度合金材料开发；高温合金材料开发。</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E8C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株洲九方铸造股份有限公司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0C0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曾庆文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15073300031</w:t>
            </w:r>
          </w:p>
        </w:tc>
      </w:tr>
      <w:tr w14:paraId="554E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832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2D5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378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钢铁材料质量管控整体解决方案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B82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为企业提供“洁净钢水控制”“机器视觉表面检测”“钢水液面波动”“电磁超声无损探伤”等智能化的钢铁材料质量管控整体解决方案，有效帮助企业提高钢铁材料质量，降低缺陷事故风险，提升综合竞争力。</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A6D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衡阳镭目科技有限责任公司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2B7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肖小文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13873495005</w:t>
            </w:r>
          </w:p>
        </w:tc>
      </w:tr>
      <w:tr w14:paraId="57B9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40A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312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EB6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金属增材解决方案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A8D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提供金属增材制造设备、工艺开发和快速制造等整体解决方案。产品主要用于航空航天、工业制造等高端制造业，助力各类高端金属部件的创新研发及定制化生产。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5E6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014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3EED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5F5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1EF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73E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A61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提供高端砂型/蜡型增材制造设备、关键材料工艺和增材制造+传统铸造相结合的核心技术及产品。用于复杂结构、异形结构的高端铸件的研发、生产，可提供单个和中小批量产品的定制生产。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BAF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466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6146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5A1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1FC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FB5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非金属增材制造解决方案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6F8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提供系列化非金属整体解决方案，材料涵盖工程塑料、尼龙、光敏树脂等。可用于具有复杂结构的手板零件、定制化工装、产品模型、文化创意等产品的中小批量快速生产。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763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3D3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14:paraId="1162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BD7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87D4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115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烧结智能制造整体解决方案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1EF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实现了工艺装备、生产过程控制智能化，有效解决了烧结工艺流程长、大滞后、原料因素不稳定等长期困扰烧结生产过程控制的难题。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C79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中冶长天（长沙）智能科技有限公司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153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戴锐</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13687307972</w:t>
            </w:r>
          </w:p>
        </w:tc>
      </w:tr>
      <w:tr w14:paraId="56A6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90B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BBD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AB9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智能下料分拣产线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FDA5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线设计上充分结合了行业内用户典型生产状况，能够完成工件全生命周期管理和自动下料、自动分拣、自动配盘、自动打磨、自动打码、自动物流等功能于一体的现代化智能工厂产线，在为企业降低大量人力劳动的同时，实现产能跨越式提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A5A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湖南视比特机器人有限公司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507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17775836862</w:t>
            </w:r>
          </w:p>
        </w:tc>
      </w:tr>
      <w:tr w14:paraId="0D51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D0E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6FA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C64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高性能与智能计算</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D27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建有全国高校算力TOP20的计算集群，存储能力1.7Pb、算力能力2.6PFlops、标准机架180个，可提供大规模数据存储、数值仿真、高性能计算和人工智能网络模型训练等服务。</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E9E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湖南韶峰应用数学研究院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E64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18173239929</w:t>
            </w:r>
          </w:p>
        </w:tc>
      </w:tr>
      <w:tr w14:paraId="4F41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D55B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1E3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985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医疗耗材仓储物流云平台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C1C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智能硬件+医疗物联网，对院内人员、耗材及物资等各个环节实现集中管理，监控医疗耗材供应环节，做到耗材耗用可追溯，保证医用质量安全，有效提升管理水平和质量。</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24A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湖南德荣医疗健康产业有限公司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430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汤建</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18670015928</w:t>
            </w:r>
          </w:p>
        </w:tc>
      </w:tr>
      <w:tr w14:paraId="0918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6AD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7813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E21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32F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GTX.One基因超算工作站是一款超级计算服务器。内置高倍率基因组压缩工具、高性能基因计算加速方案及基因突变注释与解读系统等。可将基因测序Fastq数据压缩至原GZ文件大小的2%。</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916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人和未来生物科技（长沙）有限公司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263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方龙</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15576629132</w:t>
            </w:r>
          </w:p>
        </w:tc>
      </w:tr>
    </w:tbl>
    <w:p w14:paraId="685AF394">
      <w:pPr>
        <w:bidi w:val="0"/>
        <w:rPr>
          <w:rFonts w:hint="eastAsia" w:ascii="仿宋_GB2312" w:hAnsi="仿宋_GB2312" w:eastAsia="仿宋_GB2312" w:cs="仿宋_GB2312"/>
          <w:lang w:val="en-US" w:eastAsia="zh-CN"/>
        </w:rPr>
        <w:sectPr>
          <w:headerReference r:id="rId5" w:type="default"/>
          <w:footerReference r:id="rId6" w:type="default"/>
          <w:pgSz w:w="16838" w:h="11906" w:orient="landscape"/>
          <w:pgMar w:top="1134" w:right="1134" w:bottom="1134" w:left="1134" w:header="851" w:footer="992" w:gutter="0"/>
          <w:cols w:space="720" w:num="1"/>
          <w:docGrid w:type="linesAndChars" w:linePitch="554" w:charSpace="-842"/>
        </w:sectPr>
      </w:pPr>
    </w:p>
    <w:p w14:paraId="2239BA32">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应用场景机会清单</w:t>
      </w:r>
    </w:p>
    <w:p w14:paraId="70BD78FA">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1140"/>
        <w:gridCol w:w="1084"/>
        <w:gridCol w:w="1268"/>
        <w:gridCol w:w="3160"/>
        <w:gridCol w:w="2429"/>
        <w:gridCol w:w="2028"/>
        <w:gridCol w:w="1350"/>
        <w:gridCol w:w="1084"/>
        <w:gridCol w:w="2170"/>
      </w:tblGrid>
      <w:tr w14:paraId="4707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C94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序号</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E8B5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所属产业链</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F6B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场景名称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356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机会描述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284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建设基础</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5F7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合作需求</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142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拟合作方式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367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业主单位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E1A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联系人及手机号</w:t>
            </w:r>
          </w:p>
        </w:tc>
      </w:tr>
      <w:tr w14:paraId="165B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918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0030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43A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天然饮用矿泉水产业开发利用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260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    聚焦麻阳天然饮用矿泉水开发与利用，计划引入优质大型天然饮用矿泉水企业、大健康发展企业和医疗用水开发企业，解决资金短缺、缺少知名品牌、水产业不发展，达到更好地开发利用麻阳天然饮用矿泉水的目的。</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6C7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县已经成功在全县12个乡镇发现天然饮用矿泉水，完成地质勘探、水质监测、钻井，并在此基础上向省厅申请了3个天然饮用矿泉水资源开发地块。每个地块每天可开采天然饮用矿泉水500-1000吨。这几处矿泉水开发基地位于省道或高速公路附近，交通便捷，环境优美。在技术方面，有自然资源部技术专家团队做支撑。</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956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引进高品质天然饮用矿泉水资源开发与利用企业</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0F4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直接采购、联合开发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7C1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麻阳苗族自治县自然资源局</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881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田连春</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13974549687</w:t>
            </w:r>
          </w:p>
        </w:tc>
      </w:tr>
      <w:tr w14:paraId="1032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DC0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A78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FB5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6F1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湘西泡菜是湖南湘西地区的一种特色发酵蔬菜，湘西泡菜预制化工业生产目前面临的对泡菜母水依赖性强，风味不稳定，易变质等问题亟待解决。</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3C0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团队有研究人员5名，初步完成了湘西泡菜预制化的基础研究。</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05F0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湘西泡菜预制化工业生产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50C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5E2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4A6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陈宇昱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13237489869</w:t>
            </w:r>
          </w:p>
        </w:tc>
      </w:tr>
      <w:tr w14:paraId="6C77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C59E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329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9F0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杂交水稻新品种培育、生产制种及生产应用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D4A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杂交水稻育种技术存在资源利用率低和受光温条件影响生产稳定性不足的问题，利用将隐性核雄性不育基因创制新型杂交水稻不育系，提高水稻种质资源利用率至接近100%的同时，又避免了光照和低温等自然条件对不育系育性的影响，提升了制种安全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03F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逐年培育出系列优异的广三系不育系，截至目前已有8个不育系通过主管部门鉴定，可产业化开发；配组筛选出杂交水稻优势组合陆续进入国内和国外新品种审定，截止目前已有15个杂交水稻新品种送审，其中圳18优粤标5号通过浙江省审定、圳优545通过江苏审定，已经开始制种布点示范并销售。希望与种业企业、高校院所合作，开发新型杂交水稻品种，并完成审定，应用于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A29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第三代杂交水稻配组、审定、应用开发</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755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联合研发、品种生产经营</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0F8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怀化市农科院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怀化市职业技术学院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湖南奥谱隆种业科技有限公司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安徽荃银高科种业股份有限公司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合肥丰乐种业股份有限公司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CDB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陈雷</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13811954970</w:t>
            </w:r>
          </w:p>
        </w:tc>
      </w:tr>
      <w:tr w14:paraId="723C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80D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2D9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B8C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交通拥堵监测</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3664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地面监测盲区多（覆盖率＜40%）、拥堵预测滞后（平均提前量＜10分钟）、信号调控依赖经验判断等问题，需构建无人机高空感知网与AI动态决策系统。重点突破：全息路况感知、拥堵溯源分析、信号智慧调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1CC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资源：已接入全市1200路交通摄像头数据、建成交通流量历史数据库；硬件准备：规划部署22个无人机智能机巢（覆盖核心城区）、信号灯控制系统已完成智能化改造；验证成果：在试点路段实现高峰期通行速度提升18%（基于模拟推演）。</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8BB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 智能感知设备：长航时交通巡查无人机、车载AI分析边缘计算盒；2. 决策系统：拥堵预测引擎、信号灯动态优化算法。</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57E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数据合作、联合研发、BOT模式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1663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EEE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14:paraId="350E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64C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FA8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77B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智能交通管理</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734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解决路网运行评估碎片化、违法识别效率低（人工审核＞3分钟/例）、管控指令缺乏数据支撑等痛点，需建设“感知-认知-决策”一体化平台。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801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平台基础：已建成交通大数据中心；前期验证：在3个路口试点实现违法识别效率提升15倍。</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BED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1.核心系统：多源数据融合中台（秒级处理10万+终端数据）2. 智能装备：5G网联无人机、全向扫描雷视一体机；3. 算法服务：交通优化方案生成引擎。</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C45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PPP模式、技术采购、标准共建</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F47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646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14:paraId="5E62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FCD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0EA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D7C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无人机巡检技术升级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A55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计划引入高精度激光雷达与多光谱传感器技术，提升交通路网智能识别能力，开发适配农林水电的高新技术，优化预警时效性。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CE3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现有巡检系统可覆盖交通/旅游，实现隐患可视化追溯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E6E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政策支持、项目合作协调</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1F7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E19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0C1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14:paraId="6CA9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F7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C41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496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湖南华侨城雁新城片区飞行营地项目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A70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该项目计划投资1500万，前期使用500万，租用华侨城在合江街道段湘江边滩头地，因地制宜，清理杂树杂草，夯实地基，种上草皮，改造成飞行营地，适合各种航空运动类飞行器，如牵引滑翔伞、动力伞、运动类水上飞机和初级类飞机等为航空爱好者和大众参与体验飞行、航空运动训练、休闲娱乐飞行，实现航空运动+文旅的低空经济业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E13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湖南运通飞行航空服务有限公司拟在华侨城权属区域内，湘江河边1号码头地段，建设飞行营地+文旅项目，项目包括建设A2级直升机场和水上通用机场</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550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资金投入</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9534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第三方公司股份投资</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2B9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AA2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邓运国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18975425555</w:t>
            </w:r>
          </w:p>
        </w:tc>
      </w:tr>
      <w:tr w14:paraId="084B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A6D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88F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ABA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航空教育产教融合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DB1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与学校合作共建航空航空科技特色学实验室，开设航空航天科普课程；打造专业研学飞行教育营地，策划个性化研学方案，承办专业赛事，配套建设训练场地，实现“课程科普+研学实践+职业考级”的贯通式航空教育体系。</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EB0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已打造全龄段航空科普教育平台，完成4所中小学科普实验室投建与课程开设；承办了多届省级市级科技体育相关赛事；具备民航局认证无人机培训资质，每年定量输出执证飞手</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AE7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9C7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政企校合作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9DC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D17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14:paraId="7C08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0B5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1E1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ED4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C74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系留无人机的机载端电源模块，为无人机提供动力电源。目前机载电源体积大，价格贵，还没有能满足10KW大功率的机载电源。</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902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已经开发了无人机和地面电源箱体。目前寻找供应商，采购10KW的DC/DC 电源模块，具有体积小，成本低等特点。</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3B3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10KW电源模块，1000V输入，50V输出</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9CD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047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8B3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夏含信</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13528836085</w:t>
            </w:r>
          </w:p>
        </w:tc>
      </w:tr>
      <w:tr w14:paraId="16DE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973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858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B01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政务巡检</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DFB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株洲市天元区全域低空政务系统</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61C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目前新翼公司服务天元区各委办单位如：水利局、生态环境分局、应急管理局、交通运输局、自然资源局、城管局、住建局、文体局、卫健局、农业农村局、三个镇和马家河街道等多部门和场景。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9C14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eastAsia" w:ascii="仿宋_GB2312" w:hAnsi="仿宋_GB2312" w:eastAsia="仿宋_GB2312" w:cs="仿宋_GB2312"/>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66C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公开招标</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4AA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株洲市天元区区政府</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F48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王建国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13873337669</w:t>
            </w:r>
          </w:p>
        </w:tc>
      </w:tr>
      <w:tr w14:paraId="4FC2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EF9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C25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磁浮交通</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CEE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A7E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作为新一代工业传输方式，颠覆性解决了皮带、倍速链等传统机械传动模式存在的摩擦损耗、维护成本高、柔性化不足等问题，为现代工业生产提供高效、精确、灵活的物料流转平台。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CCF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已成功研发磁悬浮输送系统，突破定位精度、重复定位精度等核心技术，形成产业化生产。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56A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216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D4C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D94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徐晶</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18397590898</w:t>
            </w:r>
          </w:p>
        </w:tc>
      </w:tr>
      <w:tr w14:paraId="1684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AAC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49B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先进钢铁材料</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E1F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工业窑炉氢氧燃烧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889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聚焦工业窑炉领域化石燃料燃烧存在的痛点，计划引入绿电制氢与全氧燃烧技术，系统性解决现有燃烧方式存在的高碳排放、低热效率、氮氧化物污染及能源浪费等问题，实现工业高温过程的深度脱碳与能效跃升。</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75C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已经成功研发了氢氧成型烧嘴，并有实际应用案例，完成了氢氧燃烧产品自动化生产方面的工艺研究工作，希望与制造企业、应用落地。</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A9F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应用工业窑炉低碳燃烧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BC1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直接采购、项目合作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3CB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湖南钢铁集团、陶瓷生产企业</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FC7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赵权</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15616136333</w:t>
            </w:r>
          </w:p>
        </w:tc>
      </w:tr>
      <w:tr w14:paraId="13D1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156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6B5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新一代信息技术</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6B3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数字化研发平台建设项目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69C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实现基于自主创新的正向研发体系与数字孪生技术。2.实现型谱优化、基于经验固化的专家快速设计、多专业一体化联合仿真、虚拟试验和半实物仿真、数字化工厂变更管控与统一BOM管理等能力。3.打造产品全生命周期数字化研发平台，实现端到端业务打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E041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建立覆盖工程机械全生命周期的数字化研发体系，拥有PLM（产品生命周期管理）系统基础及多学科仿真能力；在智能农机、高空机械等领域完成数字样机验证，积累超10万条设计参数库；获评国家级工业设计中心，具备CAE/CAD/CAM集成应用经验。</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AFA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联合开发基于数字孪生的正向设计模块（型谱优化、专家知识库）</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搭建多专业协同仿真平台（结构-液压-控制联合仿真）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构建BOM全流程管理系统，打通研发-制造数据链</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13DD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EC3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中联重科股份有限公司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710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杨宗宁</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15080716605</w:t>
            </w:r>
          </w:p>
        </w:tc>
      </w:tr>
      <w:tr w14:paraId="559F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8DE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C42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EAC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场景采集与真值测评系统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0AB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包括数据采集主机（包含CAN/CANFD、以太网、COM、USB等数据通道若干，带存储系统）、真值传感器（包括128线主激光雷达、补盲激光雷达、高精定位组合惯导、毫米波雷达、智能摄像头等真值传感器若干）、处理器（包含在线感知融合算法服务器，离线reference真值算法服务器）、采集系统配件（包含监控相机、鱼眼相机、打点器、显示屏、线缆等）以及相关配套软件。</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257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D0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高精度真值传感器套件、多源异构数据同步采集与融合处理系统、符合ISO 34502标准的场景重建与测评软件</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038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4BC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C7B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5CA4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B13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ADD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194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HIL系统实时仿真平台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3B94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控制器PXIe-8881，主频3.9 GHz，八核处理器；机箱至少18槽，可用于后续扩展，模拟IO输入输出至少各8路，数字IO输入输出至少各8路；包括4路车载以太网接口，支持100/1000BASE-T1；4路标准以太网，支持100/1000BASE-Tx；10路CAN/CAN FD接口，2路LIN接口</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68F9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3D6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高实时性PXIe仿真机箱</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8A4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997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601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5215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176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3D4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200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雪天模拟系统、室内定位系统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339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雪天模拟系统：满足小雪、大雪等不同等级和能见度的雪天环境模拟。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室内定位系统：速度精度：±0.1km/h；位置精度：2cm；支持RT设备并实现室内室外环境无缝切换。更新速率：100Hz；首次定位时间：＜0.2s。</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虚实融合测试设备：包括图形工作站、组合惯导（准确计算记录车辆本身的姿态信息）、车端总线注入设备、仿真软件\多平板集群控制系统（软体目标物、驱动平板等）</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572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998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可控雪密度与能见度的动态降雪模拟设备、厘米级室内外无缝定位系统（RTK+UWB融合）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7B3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F26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9E8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14:paraId="307B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FC4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C68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A93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储能用层状金属复合材料薄带研发技术及产业化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F5B1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研究中厚板高能率动态复合技术、大压下强冷变形非对称轧制技术、薄板板形控形、控性和界面控制关键技术，形成高结合强度、界面均匀的超薄异质金属材料系列产品（厚度规格为0.5mm-6mm不同厚度、不同厚度比的铜铝、铜镍和钛铜等铜复合系列产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A31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设有专家、博士工作站，建有省、市级企业技术中心，爆炸加工技术中心，层状金属复合技术检测中心，层状金属复合材料关键技术达到国际标杆级水平。</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875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非对称轧制工艺优化（解决薄带板形翘曲问题），界面扩散控制技术（抑制金属间化合物生成）</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64B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技术引进、产线合作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90C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湖南方恒新材料技术股份有限公司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599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18670349809</w:t>
            </w:r>
          </w:p>
        </w:tc>
      </w:tr>
      <w:tr w14:paraId="4878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E4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C474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150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碳基材料循环利用与提纯技术研究</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D09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通过理论分析与实验表征相结合，利用石墨材料天然疏水性的特性，对已经拆解破碎废旧电池负极进行浸出-气浮一体化技术研究，一步气浮分离石墨与液相和固相杂质，获得石墨精料；2、针对碳纳米管中杂质含量较多，开展化学协同纯化技术、高温纯化技术及低分子络合诱导杂质化学气相沉淀技术，在无损伤的前提下，力争金属杂质 （Co和 Fe等）含量小于200 ppm，并且减少能耗成本</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EFA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金阳烯碳拥有100余名研发人员、70余项相关专利，掌握着石墨烯高质量低成本的制备技术，建成了全自动化石墨烯与锂离子电池石墨负极材料生产线，实现了少层高纯石墨烯粉体的量产，已经在石墨烯和锂离子电池石墨负极材料研发生产这条赛道上积累起“高技术壁垒”</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03F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高温提纯能耗控制方案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4E6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873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湖南金阳烯碳新材料股份有限公司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58B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肖芬芳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15802516855</w:t>
            </w:r>
          </w:p>
        </w:tc>
      </w:tr>
      <w:tr w14:paraId="00C8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606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720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B21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安全系统解决方案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1E3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拟通过硬件平台合作开发、应用软件自主开发的方式，形成具有国产自主知识产权的安全系统解决方案，建立行业安全控制系统设计标准，打造高空作业领域的专业应用平台。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85E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星邦智能已在高空作业平台领域实现控制系统全栈自研，掌握CAN总线通信、多传感器融合技术；产品通过欧盟CE/美国ANSI认证，安全控制算法积累超5万小时路谱数据。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0A8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1.高可靠硬件平台（满足IP67防护等级、-40℃~85℃工况）；</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2.功能安全认证支持（ISO 13849 PL e级）；</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3.倾翻保护、载荷识别等核心算法优化。</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D96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C3A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湖南星邦智能装备股份有限公司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D7E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徐姣</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18670097156</w:t>
            </w:r>
          </w:p>
        </w:tc>
      </w:tr>
      <w:tr w14:paraId="74EE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541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192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571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多介质中心回转接头开发及应用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311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本项目拟自主开发多介质中回，以替代进口元件，且通过高性价比的技术自主，拓展应用场景，降低主机客户的综合生产成本。1.耐久旋转测试≥15万次。2.性能测试压力等级：低压试验3MPa，高压试验31.5MPa。3.不同介质通道间的泄露量：零泄露。4.主体材料及密封材料对各介质的抗腐蚀能力：耐久试验后，性能无异常，拆解无腐蚀痕迹。5.产品性价比。以三一越野起重机应用的多介质中回为例，较进口产品下降40%以上。</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3AC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已开发液压回转接头（压力35MPa）批量用于三一挖掘机；完成多通道密封结构原型设计，通过3万次旋转耐久测试；建有CNAS认证检测实验室。</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11B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超硬密封材料</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6C0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21A6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长沙孟德机械科技有限公司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C0F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刘丹杰</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13787179798</w:t>
            </w:r>
          </w:p>
        </w:tc>
      </w:tr>
    </w:tbl>
    <w:p w14:paraId="0A3AFEEA">
      <w:pPr>
        <w:bidi w:val="0"/>
        <w:rPr>
          <w:lang w:val="en-US" w:eastAsia="zh-CN"/>
        </w:rPr>
      </w:pPr>
    </w:p>
    <w:p w14:paraId="58B9E051">
      <w:pPr>
        <w:bidi w:val="0"/>
        <w:rPr>
          <w:rFonts w:hint="eastAsia"/>
        </w:rPr>
      </w:pPr>
    </w:p>
    <w:p w14:paraId="20F88E79">
      <w:pPr>
        <w:bidi w:val="0"/>
        <w:ind w:left="0" w:leftChars="0" w:firstLine="0" w:firstLineChars="0"/>
        <w:rPr>
          <w:rFonts w:hint="default"/>
          <w:lang w:val="en-US" w:eastAsia="zh-CN"/>
        </w:rPr>
      </w:pPr>
    </w:p>
    <w:sectPr>
      <w:pgSz w:w="16838" w:h="11906" w:orient="landscape"/>
      <w:pgMar w:top="1587" w:right="2098" w:bottom="1474" w:left="1984" w:header="851" w:footer="992" w:gutter="0"/>
      <w:pgNumType w:fmt="decimal"/>
      <w:cols w:space="0" w:num="1"/>
      <w:rtlGutter w:val="0"/>
      <w:docGrid w:type="linesAndChars" w:linePitch="554"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10CB">
    <w:pPr>
      <w:widowControl w:val="0"/>
      <w:tabs>
        <w:tab w:val="center" w:pos="4153"/>
        <w:tab w:val="right" w:pos="8306"/>
      </w:tabs>
      <w:snapToGrid w:val="0"/>
      <w:spacing w:line="580" w:lineRule="exact"/>
      <w:ind w:firstLine="360" w:firstLineChars="20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68300"/>
              <wp:effectExtent l="0" t="0" r="0" b="0"/>
              <wp:wrapNone/>
              <wp:docPr id="2" name="矩形 2"/>
              <wp:cNvGraphicFramePr/>
              <a:graphic xmlns:a="http://schemas.openxmlformats.org/drawingml/2006/main">
                <a:graphicData uri="http://schemas.microsoft.com/office/word/2010/wordprocessingShape">
                  <wps:wsp>
                    <wps:cNvSpPr/>
                    <wps:spPr>
                      <a:xfrm>
                        <a:off x="0" y="0"/>
                        <a:ext cx="622300" cy="368300"/>
                      </a:xfrm>
                      <a:prstGeom prst="rect">
                        <a:avLst/>
                      </a:prstGeom>
                      <a:noFill/>
                      <a:ln w="6350">
                        <a:noFill/>
                      </a:ln>
                    </wps:spPr>
                    <wps:txbx>
                      <w:txbxContent>
                        <w:p w14:paraId="14CC28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9pt;width:49pt;mso-position-horizontal:outside;mso-position-horizontal-relative:margin;mso-wrap-style:none;z-index:251659264;mso-width-relative:page;mso-height-relative:page;" filled="f" stroked="f" coordsize="21600,21600" o:gfxdata="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Rb+9nVAAAAAwEAAA8AAAAAAAAAAQAgAAAAIgAAAGRycy9kb3du&#10;cmV2LnhtbFBLAQIUABQAAAAIAIdO4kBpqj/5yQEAAJMDAAAOAAAAAAAAAAEAIAAAACQBAABkcnMv&#10;ZTJvRG9jLnhtbFBLBQYAAAAABgAGAFkBAABfBQAAAAA=&#10;">
              <v:fill on="f" focussize="0,0"/>
              <v:stroke on="f" weight="0.5pt"/>
              <v:imagedata o:title=""/>
              <o:lock v:ext="edit" aspectratio="f"/>
              <v:textbox inset="0mm,0mm,0mm,0mm" style="mso-fit-shape-to-text:t;">
                <w:txbxContent>
                  <w:p w14:paraId="14CC28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597F">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ind w:firstLine="360" w:firstLineChars="200"/>
      <w:jc w:val="both"/>
      <w:outlineLvl w:val="9"/>
      <w:rPr>
        <w:rFonts w:ascii="Times New Roman" w:hAnsi="Times New Roman" w:eastAsia="仿宋_GB2312"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AA24B"/>
    <w:multiLevelType w:val="singleLevel"/>
    <w:tmpl w:val="EFFAA24B"/>
    <w:lvl w:ilvl="0" w:tentative="0">
      <w:start w:val="1"/>
      <w:numFmt w:val="decimal"/>
      <w:pStyle w:val="5"/>
      <w:lvlText w:val="%1."/>
      <w:lvlJc w:val="left"/>
      <w:pPr>
        <w:ind w:left="425" w:hanging="425"/>
      </w:pPr>
      <w:rPr>
        <w:rFonts w:hint="default"/>
      </w:rPr>
    </w:lvl>
  </w:abstractNum>
  <w:abstractNum w:abstractNumId="1">
    <w:nsid w:val="FDEC8544"/>
    <w:multiLevelType w:val="singleLevel"/>
    <w:tmpl w:val="FDEC8544"/>
    <w:lvl w:ilvl="0" w:tentative="0">
      <w:start w:val="1"/>
      <w:numFmt w:val="chineseCounting"/>
      <w:pStyle w:val="4"/>
      <w:suff w:val="nothing"/>
      <w:lvlText w:val="（%1）"/>
      <w:lvlJc w:val="left"/>
      <w:pPr>
        <w:ind w:left="0" w:firstLine="420"/>
      </w:pPr>
      <w:rPr>
        <w:rFonts w:hint="eastAsia"/>
      </w:rPr>
    </w:lvl>
  </w:abstractNum>
  <w:abstractNum w:abstractNumId="2">
    <w:nsid w:val="7FF40900"/>
    <w:multiLevelType w:val="singleLevel"/>
    <w:tmpl w:val="7FF40900"/>
    <w:lvl w:ilvl="0" w:tentative="0">
      <w:start w:val="1"/>
      <w:numFmt w:val="chineseCounting"/>
      <w:pStyle w:val="3"/>
      <w:suff w:val="nothing"/>
      <w:lvlText w:val="%1、"/>
      <w:lvlJc w:val="left"/>
      <w:pPr>
        <w:ind w:left="0" w:firstLine="397"/>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attachedTemplate r:id="rId1"/>
  <w:documentProtection w:enforcement="0"/>
  <w:defaultTabStop w:val="420"/>
  <w:drawingGridHorizontalSpacing w:val="158"/>
  <w:drawingGridVerticalSpacing w:val="277"/>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0F6E"/>
    <w:rsid w:val="05FA230E"/>
    <w:rsid w:val="1F2F8661"/>
    <w:rsid w:val="20D50F6E"/>
    <w:rsid w:val="22274816"/>
    <w:rsid w:val="23857844"/>
    <w:rsid w:val="30730627"/>
    <w:rsid w:val="51FEDEFE"/>
    <w:rsid w:val="53F9B615"/>
    <w:rsid w:val="559E1803"/>
    <w:rsid w:val="57F9D3E6"/>
    <w:rsid w:val="5F57F742"/>
    <w:rsid w:val="625E7B88"/>
    <w:rsid w:val="62D11F6A"/>
    <w:rsid w:val="67C9B281"/>
    <w:rsid w:val="6DFF3638"/>
    <w:rsid w:val="7BFB3557"/>
    <w:rsid w:val="7C607F1C"/>
    <w:rsid w:val="7E7ABF5D"/>
    <w:rsid w:val="7FDAED7E"/>
    <w:rsid w:val="BF5F4957"/>
    <w:rsid w:val="BFFFE1E2"/>
    <w:rsid w:val="F7BDEBD4"/>
    <w:rsid w:val="FF7BCB3A"/>
    <w:rsid w:val="FF9F9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580" w:lineRule="exact"/>
      <w:outlineLvl w:val="1"/>
    </w:pPr>
    <w:rPr>
      <w:rFonts w:eastAsia="方正黑体_GBK"/>
    </w:rPr>
  </w:style>
  <w:style w:type="paragraph" w:styleId="4">
    <w:name w:val="heading 3"/>
    <w:basedOn w:val="1"/>
    <w:next w:val="1"/>
    <w:link w:val="13"/>
    <w:unhideWhenUsed/>
    <w:qFormat/>
    <w:uiPriority w:val="0"/>
    <w:pPr>
      <w:keepNext/>
      <w:keepLines/>
      <w:numPr>
        <w:ilvl w:val="0"/>
        <w:numId w:val="2"/>
      </w:numPr>
      <w:spacing w:beforeLines="0" w:beforeAutospacing="0" w:afterLines="0" w:afterAutospacing="0" w:line="580" w:lineRule="exact"/>
      <w:outlineLvl w:val="2"/>
    </w:pPr>
    <w:rPr>
      <w:rFonts w:eastAsia="方正楷体_GBK"/>
    </w:rPr>
  </w:style>
  <w:style w:type="paragraph" w:styleId="5">
    <w:name w:val="heading 4"/>
    <w:basedOn w:val="1"/>
    <w:next w:val="1"/>
    <w:link w:val="14"/>
    <w:unhideWhenUsed/>
    <w:qFormat/>
    <w:uiPriority w:val="0"/>
    <w:pPr>
      <w:keepNext/>
      <w:keepLines/>
      <w:numPr>
        <w:ilvl w:val="0"/>
        <w:numId w:val="3"/>
      </w:numPr>
      <w:spacing w:beforeLines="0" w:beforeAutospacing="0" w:afterLines="0" w:afterAutospacing="0" w:line="580" w:lineRule="exact"/>
      <w:ind w:left="0"/>
      <w:outlineLvl w:val="3"/>
    </w:pPr>
    <w:rPr>
      <w:b/>
    </w:rPr>
  </w:style>
  <w:style w:type="paragraph" w:styleId="6">
    <w:name w:val="heading 5"/>
    <w:basedOn w:val="1"/>
    <w:next w:val="1"/>
    <w:unhideWhenUsed/>
    <w:qFormat/>
    <w:uiPriority w:val="0"/>
    <w:pPr>
      <w:keepNext/>
      <w:keepLines/>
      <w:spacing w:beforeLines="0" w:beforeAutospacing="0" w:afterLines="0" w:afterAutospacing="0" w:line="580" w:lineRule="exact"/>
      <w:ind w:firstLine="0" w:firstLineChars="0"/>
      <w:jc w:val="center"/>
      <w:outlineLvl w:val="4"/>
    </w:pPr>
    <w:rPr>
      <w:rFonts w:eastAsia="方正楷体_GBK"/>
    </w:rPr>
  </w:style>
  <w:style w:type="paragraph" w:styleId="7">
    <w:name w:val="heading 6"/>
    <w:basedOn w:val="1"/>
    <w:next w:val="1"/>
    <w:unhideWhenUsed/>
    <w:qFormat/>
    <w:uiPriority w:val="0"/>
    <w:pPr>
      <w:keepNext/>
      <w:keepLines/>
      <w:spacing w:beforeLines="0" w:beforeAutospacing="0" w:afterLines="0" w:afterAutospacing="0" w:line="580" w:lineRule="exact"/>
      <w:ind w:right="1264" w:rightChars="400" w:firstLine="0" w:firstLineChars="0"/>
      <w:jc w:val="right"/>
      <w:outlineLvl w:val="5"/>
    </w:p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Char"/>
    <w:link w:val="4"/>
    <w:qFormat/>
    <w:uiPriority w:val="0"/>
    <w:rPr>
      <w:rFonts w:eastAsia="方正楷体_GBK"/>
    </w:rPr>
  </w:style>
  <w:style w:type="character" w:customStyle="1" w:styleId="14">
    <w:name w:val="标题 4 Char"/>
    <w:link w:val="5"/>
    <w:qFormat/>
    <w:uiPriority w:val="0"/>
    <w:rPr>
      <w:rFonts w:eastAsia="仿宋_GB2312"/>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xjkp\C:\Users\86422\AppData\Roaming\kingsoft\office6\templates\wps\zh_CN\&#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公文.dotx</Template>
  <Pages>23</Pages>
  <Words>1522</Words>
  <Characters>1547</Characters>
  <Lines>0</Lines>
  <Paragraphs>0</Paragraphs>
  <TotalTime>3</TotalTime>
  <ScaleCrop>false</ScaleCrop>
  <LinksUpToDate>false</LinksUpToDate>
  <CharactersWithSpaces>1547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2025-08-24T16:55:00Z</dcterms:created>
  <dc:creator>缪由之</dc:creator>
  <cp:lastModifiedBy>liuyang</cp:lastModifiedBy>
  <dcterms:modified xsi:type="dcterms:W3CDTF">2025-08-26T10:04:41Z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B45B7B986D1B40A785EDA33FED2C7417_13</vt:lpwstr>
  </property>
  <property fmtid="{D5CDD505-2E9C-101B-9397-08002B2CF9AE}" pid="4" name="KSOTemplateDocerSaveRecord">
    <vt:lpwstr>eyJoZGlkIjoiYTM3ZWVjZDU4ZGU3YmUwYTRlZGJmMzBmNTNmNDVkNTciLCJ1c2VySWQiOiI1ODEzMDMwNDAifQ==</vt:lpwstr>
  </property>
</Properties>
</file>